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журнал"/>
    <w:p>
      <w:pPr>
        <w:pStyle w:val="Heading1"/>
        <w:jc w:val="center"/>
      </w:pPr>
      <w:r>
        <w:rPr>
          <w:color w:val="000000"/>
        </w:rPr>
        <w:t xml:space="preserve">ЖУРНАЛ</w:t>
      </w:r>
    </w:p>
    <w:bookmarkStart w:id="20" w:name="Xe640ae63575f3e2b9df01a0c48589adeeee272c"/>
    <w:p>
      <w:pPr>
        <w:pStyle w:val="Heading2"/>
        <w:jc w:val="center"/>
      </w:pPr>
      <w:r>
        <w:rPr>
          <w:color w:val="000000"/>
        </w:rPr>
        <w:t xml:space="preserve">учёта обращений субъектов персональных данных</w:t>
      </w:r>
    </w:p>
    <w:p>
      <w:pPr>
        <w:pStyle w:val="FirstParagraph"/>
        <w:jc w:val="both"/>
      </w:pPr>
      <w:r>
        <w:rPr>
          <w:b/>
          <w:bCs/>
        </w:rPr>
        <w:t xml:space="preserve">Оператор персональных данных:</w:t>
      </w:r>
    </w:p>
    <w:p>
      <w:pPr>
        <w:pStyle w:val="BodyText"/>
        <w:jc w:val="both"/>
      </w:pPr>
      <w:r>
        <w:t xml:space="preserve">Полное наименование: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br/>
      </w:r>
      <w:r>
        <w:t xml:space="preserve">ИНН:</w:t>
      </w:r>
      <w:r>
        <w:t xml:space="preserve"> </w:t>
      </w:r>
      <w:r>
        <w:rPr>
          <w:shd w:val="clear" w:color="auto" w:fill="C6EFCE"/>
        </w:rPr>
        <w:t xml:space="preserve">1234567890</w:t>
      </w:r>
    </w:p>
    <w:p>
      <w:pPr>
        <w:pStyle w:val="BodyText"/>
        <w:jc w:val="both"/>
      </w:pPr>
      <w:r>
        <w:t xml:space="preserve">Ответственный за ведение журнала:</w:t>
      </w:r>
      <w:r>
        <w:t xml:space="preserve"> </w:t>
      </w:r>
      <w:r>
        <w:rPr>
          <w:shd w:val="clear" w:color="auto" w:fill="C6EFCE"/>
        </w:rPr>
        <w:t xml:space="preserve">Начальник отдела кадров</w:t>
      </w:r>
      <w:r>
        <w:t xml:space="preserve"> </w:t>
      </w:r>
      <w:r>
        <w:rPr>
          <w:shd w:val="clear" w:color="auto" w:fill="C6EFCE"/>
        </w:rPr>
        <w:t xml:space="preserve">Сидорова Мария Сергеевна</w:t>
      </w:r>
    </w:p>
    <w:p>
      <w:pPr>
        <w:pStyle w:val="BodyText"/>
      </w:pPr>
      <w:r>
        <w:t xml:space="preserve">Начат: «____» 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  <w:r>
        <w:br/>
      </w:r>
      <w:r>
        <w:t xml:space="preserve">Окончен: «____» ____________ ________ г.</w:t>
      </w:r>
    </w:p>
    <w:bookmarkEnd w:id="20"/>
    <w:bookmarkStart w:id="21" w:name="таблица-учёта-обращений"/>
    <w:p>
      <w:pPr>
        <w:pStyle w:val="Heading2"/>
        <w:jc w:val="left"/>
      </w:pPr>
      <w:r>
        <w:rPr>
          <w:color w:val="000000"/>
        </w:rPr>
        <w:t xml:space="preserve">Таблица учёта обращений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№ п/п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Дата обращения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ФИО субъекта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Суть обращения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Способ поступления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Дата регистрации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Дата ответа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Результат рассмотрения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rPr>
                <w:shd w:val="clear" w:color="auto" w:fill="C6EFCE"/>
              </w:rPr>
              <w:t xml:space="preserve">05.06.2026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rPr>
                <w:shd w:val="clear" w:color="auto" w:fill="C6EFCE"/>
              </w:rPr>
              <w:t xml:space="preserve">Иванов Иван Иванович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rPr>
                <w:shd w:val="clear" w:color="auto" w:fill="C6EFCE"/>
              </w:rPr>
              <w:t xml:space="preserve">Запрос о составе обрабатываемых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Письменно / e-mail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rPr>
                <w:shd w:val="clear" w:color="auto" w:fill="C6EFCE"/>
              </w:rPr>
              <w:t xml:space="preserve">05.06.2026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rPr>
                <w:shd w:val="clear" w:color="auto" w:fill="C6EFCE"/>
              </w:rPr>
              <w:t xml:space="preserve">05.06.2026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rPr>
                <w:shd w:val="clear" w:color="auto" w:fill="C6EFCE"/>
              </w:rPr>
              <w:t xml:space="preserve">Предоставлен ответ (ст.14 ч.4)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</w:tbl>
    <w:p>
      <w:pPr>
        <w:pStyle w:val="BodyText"/>
        <w:jc w:val="both"/>
      </w:pPr>
      <w:r>
        <w:rPr>
          <w:i/>
          <w:iCs/>
        </w:rPr>
        <w:t xml:space="preserve">При необходимости таблица продолжается на следующих листах. Каждый лист нумеруется и подписывается ответственным.</w:t>
      </w:r>
    </w:p>
    <w:bookmarkEnd w:id="21"/>
    <w:bookmarkStart w:id="22" w:name="сроки-ответа-на-обращения-субъектов-пдн"/>
    <w:p>
      <w:pPr>
        <w:pStyle w:val="Heading2"/>
        <w:jc w:val="left"/>
      </w:pPr>
      <w:r>
        <w:rPr>
          <w:color w:val="000000"/>
        </w:rPr>
        <w:t xml:space="preserve">Сроки ответа на обращения субъектов ПДн</w:t>
      </w:r>
    </w:p>
    <w:p>
      <w:pPr>
        <w:pStyle w:val="FirstParagraph"/>
        <w:jc w:val="both"/>
      </w:pPr>
      <w:r>
        <w:t xml:space="preserve">Оператор обязан предоставить информацию о наличии персональных данных субъекта и сообщить их содержание в</w:t>
      </w:r>
      <w:r>
        <w:t xml:space="preserve"> </w:t>
      </w:r>
      <w:r>
        <w:rPr>
          <w:b/>
          <w:bCs/>
        </w:rPr>
        <w:t xml:space="preserve">течение 30 дней</w:t>
      </w:r>
      <w:r>
        <w:t xml:space="preserve"> </w:t>
      </w:r>
      <w:r>
        <w:t xml:space="preserve">с даты обращения субъекта с соответствующим запросом.</w:t>
      </w:r>
    </w:p>
    <w:p>
      <w:pPr>
        <w:pStyle w:val="BodyText"/>
        <w:jc w:val="both"/>
      </w:pPr>
      <w:r>
        <w:t xml:space="preserve">При обращении субъекта с требованием о прекращении обработки, блокировании или уничтожении персональных данных оператор обязан прекратить их обработку (либо обеспечить прекращение) и (или) уничтожить персональные данные в</w:t>
      </w:r>
      <w:r>
        <w:t xml:space="preserve"> </w:t>
      </w:r>
      <w:r>
        <w:rPr>
          <w:b/>
          <w:bCs/>
        </w:rPr>
        <w:t xml:space="preserve">срок, не превышающий 10 рабочих дней</w:t>
      </w:r>
      <w:r>
        <w:t xml:space="preserve"> </w:t>
      </w:r>
      <w:r>
        <w:t xml:space="preserve">с даты поступления требования.</w:t>
      </w:r>
    </w:p>
    <w:p>
      <w:pPr>
        <w:pStyle w:val="BodyText"/>
        <w:jc w:val="both"/>
      </w:pPr>
      <w:r>
        <w:t xml:space="preserve">Обращения, поступившие в нерабочие (праздничные) дни, регистрируются первым следующим рабочим днём. Исчисление срока ответа начинается с даты регистрации обращения в настоящем журнале.</w:t>
      </w:r>
    </w:p>
    <w:bookmarkEnd w:id="22"/>
    <w:bookmarkStart w:id="23" w:name="подпись-ответственного"/>
    <w:p>
      <w:pPr>
        <w:pStyle w:val="Heading2"/>
        <w:jc w:val="left"/>
      </w:pPr>
      <w:r>
        <w:rPr>
          <w:color w:val="000000"/>
        </w:rPr>
        <w:t xml:space="preserve">Подпись ответственного</w:t>
      </w:r>
    </w:p>
    <w:p>
      <w:pPr>
        <w:pStyle w:val="FirstParagraph"/>
      </w:pPr>
      <w:r>
        <w:rPr>
          <w:shd w:val="clear" w:color="auto" w:fill="C6EFCE"/>
        </w:rPr>
        <w:t xml:space="preserve">Начальник отдела кадров</w:t>
      </w:r>
      <w:r>
        <w:t xml:space="preserve"> </w:t>
      </w:r>
      <w:r>
        <w:t xml:space="preserve">______________________________________________ /</w:t>
      </w:r>
      <w:r>
        <w:t xml:space="preserve"> </w:t>
      </w:r>
      <w:r>
        <w:rPr>
          <w:shd w:val="clear" w:color="auto" w:fill="C6EFCE"/>
        </w:rPr>
        <w:t xml:space="preserve">Сидорова М.С.</w:t>
      </w:r>
      <w:r>
        <w:t xml:space="preserve"> </w:t>
      </w:r>
      <w:r>
        <w:t xml:space="preserve">/</w:t>
      </w:r>
    </w:p>
    <w:p>
      <w:pPr>
        <w:pStyle w:val="BodyText"/>
      </w:pPr>
      <w:r>
        <w:t xml:space="preserve">«____» ________________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bookmarkEnd w:id="23"/>
    <w:bookmarkStart w:id="24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заполнении и ведении журнала. Удалите страницу перед подписанием и передачей в дело.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Зелёные поля (подставляются автоматически или вручную):</w:t>
      </w:r>
    </w:p>
    <w:p>
      <w:pPr>
        <w:pStyle w:val="Compact"/>
        <w:numPr>
          <w:ilvl w:val="0"/>
          <w:numId w:val="1001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юридическое наименование организации-оператора (например, ООО «Ромашка»)</w:t>
      </w:r>
    </w:p>
    <w:p>
      <w:pPr>
        <w:pStyle w:val="Compact"/>
        <w:numPr>
          <w:ilvl w:val="0"/>
          <w:numId w:val="1001"/>
        </w:numPr>
        <w:jc w:val="both"/>
        <w:shd w:val="clear" w:color="auto" w:fill="F2F2F2"/>
      </w:pPr>
      <w:r>
        <w:rPr>
          <w:rStyle w:val="VerbatimChar"/>
        </w:rPr>
        <w:t xml:space="preserve">~~1234567890~~</w:t>
      </w:r>
      <w:r>
        <w:t xml:space="preserve"> </w:t>
      </w:r>
      <w:r>
        <w:t xml:space="preserve">— ИНН организации (10 или 12 цифр)</w:t>
      </w:r>
    </w:p>
    <w:p>
      <w:pPr>
        <w:pStyle w:val="Compact"/>
        <w:numPr>
          <w:ilvl w:val="0"/>
          <w:numId w:val="1001"/>
        </w:numPr>
        <w:jc w:val="both"/>
        <w:shd w:val="clear" w:color="auto" w:fill="F2F2F2"/>
      </w:pPr>
      <w:r>
        <w:rPr>
          <w:rStyle w:val="VerbatimChar"/>
        </w:rPr>
        <w:t xml:space="preserve">~~Начальник отдела кадров~~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~~Сидорова Мария Сергеевна~~</w:t>
      </w:r>
      <w:r>
        <w:t xml:space="preserve"> </w:t>
      </w:r>
      <w:r>
        <w:t xml:space="preserve">— должность и ФИО сотрудника, назначенного ответственным за ведение журнала (приказом)</w:t>
      </w:r>
    </w:p>
    <w:p>
      <w:pPr>
        <w:pStyle w:val="Compact"/>
        <w:numPr>
          <w:ilvl w:val="0"/>
          <w:numId w:val="1001"/>
        </w:numPr>
        <w:jc w:val="both"/>
        <w:shd w:val="clear" w:color="auto" w:fill="F2F2F2"/>
      </w:pPr>
      <w:r>
        <w:rPr>
          <w:rStyle w:val="VerbatimChar"/>
        </w:rPr>
        <w:t xml:space="preserve">~~Сидорова М.С.~~</w:t>
      </w:r>
      <w:r>
        <w:t xml:space="preserve"> </w:t>
      </w:r>
      <w:r>
        <w:t xml:space="preserve">— фамилия и инициалы того же сотрудника для подписи</w:t>
      </w:r>
    </w:p>
    <w:p>
      <w:pPr>
        <w:pStyle w:val="Compact"/>
        <w:numPr>
          <w:ilvl w:val="0"/>
          <w:numId w:val="1001"/>
        </w:numPr>
        <w:jc w:val="both"/>
        <w:shd w:val="clear" w:color="auto" w:fill="F2F2F2"/>
      </w:pPr>
      <w:r>
        <w:rPr>
          <w:rStyle w:val="VerbatimChar"/>
        </w:rPr>
        <w:t xml:space="preserve">~~2026~~</w:t>
      </w:r>
      <w:r>
        <w:t xml:space="preserve"> </w:t>
      </w:r>
      <w:r>
        <w:t xml:space="preserve">— год начала ведения журнала; год окончания вписывается вручную при закрытии тома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Шапка журнала: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t xml:space="preserve">Дата начала («Начат») проставляется при создании журнала; дата окончания («Окончен») — при заполнении последней строки или по истечении календарного года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t xml:space="preserve">На каждый новый период (или при исчерпании страниц) заводится новый том с продолжением нумерации записей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Таблица учёта обращений — порядок заполнения: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«Дата обращения» — дата фактического поступления запроса (письмо, e-mail, личный визит)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«Дата регистрации» — дата внесения в журнал; обращения в нерабочие дни регистрируются первым следующим рабочим днём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«Суть обращения» — кратко: запрос сведений / требование блокирования / требование уничтожения / иное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«Способ поступления» — письменно, e-mail, лично, через портал и т. д.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«Дата ответа» и «Результат» — заполняются после исполнения; должны вписываться в сроки ниже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Сроки ответа (ст. 14 ч. 4 и ст. 20 ч. 3 Федерального закона № 152-ФЗ):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Запрос о наличии / содержании ПДн — ответ в течение</w:t>
      </w:r>
      <w:r>
        <w:t xml:space="preserve"> </w:t>
      </w:r>
      <w:r>
        <w:rPr>
          <w:b/>
          <w:bCs/>
        </w:rPr>
        <w:t xml:space="preserve">30 дней</w:t>
      </w:r>
      <w:r>
        <w:t xml:space="preserve"> </w:t>
      </w:r>
      <w:r>
        <w:t xml:space="preserve">с даты регистрации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Требование прекратить обработку, заблокировать или уничтожить ПДн — исполнение в течение</w:t>
      </w:r>
      <w:r>
        <w:t xml:space="preserve"> </w:t>
      </w:r>
      <w:r>
        <w:rPr>
          <w:b/>
          <w:bCs/>
        </w:rPr>
        <w:t xml:space="preserve">10 рабочих дней</w:t>
      </w:r>
      <w:r>
        <w:t xml:space="preserve"> </w:t>
      </w:r>
      <w:r>
        <w:t xml:space="preserve">с даты регистрации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Хранение: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t xml:space="preserve">Журнал хранится у ответственного за обработку ПДн; срок хранения —</w:t>
      </w:r>
      <w:r>
        <w:t xml:space="preserve"> </w:t>
      </w:r>
      <w:r>
        <w:rPr>
          <w:b/>
          <w:bCs/>
        </w:rPr>
        <w:t xml:space="preserve">5 лет</w:t>
      </w:r>
      <w:r>
        <w:t xml:space="preserve"> </w:t>
      </w:r>
      <w:r>
        <w:t xml:space="preserve">(общий срок для журналов учёта по Перечню Росархива)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t xml:space="preserve">При проверке РКН журнал предъявляется как доказательство соблюдения ст. 14 ч. 4 и ст. 20 ч. 3 Закона № 152-ФЗ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t xml:space="preserve">Каждый дополнительный лист нумеруется и визируется ответственным</w:t>
      </w:r>
    </w:p>
    <w:bookmarkEnd w:id="24"/>
    <w:bookmarkEnd w:id="25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Журнал учёта обращений субъектов ПДн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2026-06-05T15:33:22Z</dcterms:created>
  <dcterms:modified xsi:type="dcterms:W3CDTF">2026-06-05T15:33:22Z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